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C51E9F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eastAsia="it-IT"/>
        </w:rPr>
        <w:drawing>
          <wp:inline distT="0" distB="0" distL="0" distR="0" wp14:anchorId="7831EBBF" wp14:editId="2E2E0329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672E07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Nov</w:t>
      </w:r>
      <w:r w:rsidR="00BF783F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ember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B5318B" w:rsidRDefault="00917C77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RUSSIA</w:t>
      </w:r>
    </w:p>
    <w:p w:rsidR="00612C81" w:rsidRPr="00612C81" w:rsidRDefault="00612C81" w:rsidP="00612C81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 w:rsidRPr="00612C81">
        <w:rPr>
          <w:rFonts w:ascii="Garamond" w:hAnsi="Garamond"/>
          <w:b/>
          <w:bCs/>
          <w:lang w:val="en-GB"/>
        </w:rPr>
        <w:t>Ukraine keeps on shifting to the West</w:t>
      </w:r>
    </w:p>
    <w:p w:rsidR="00612C81" w:rsidRPr="00612C81" w:rsidRDefault="00C66BDF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U</w:t>
      </w:r>
      <w:r w:rsidR="00612C81" w:rsidRPr="00612C81">
        <w:rPr>
          <w:rFonts w:ascii="Garamond" w:hAnsi="Garamond"/>
          <w:bCs/>
          <w:lang w:val="en-GB"/>
        </w:rPr>
        <w:t xml:space="preserve">krainian President Petro Poroshenko </w:t>
      </w:r>
      <w:r>
        <w:rPr>
          <w:rFonts w:ascii="Garamond" w:hAnsi="Garamond"/>
          <w:bCs/>
          <w:lang w:val="en-GB"/>
        </w:rPr>
        <w:t>the 20</w:t>
      </w:r>
      <w:r w:rsidRPr="00C66BDF">
        <w:rPr>
          <w:rFonts w:ascii="Garamond" w:hAnsi="Garamond"/>
          <w:bCs/>
          <w:vertAlign w:val="superscript"/>
          <w:lang w:val="en-GB"/>
        </w:rPr>
        <w:t>th</w:t>
      </w:r>
      <w:r>
        <w:rPr>
          <w:rFonts w:ascii="Garamond" w:hAnsi="Garamond"/>
          <w:bCs/>
          <w:lang w:val="en-GB"/>
        </w:rPr>
        <w:t xml:space="preserve"> of</w:t>
      </w:r>
      <w:r w:rsidR="00612C81" w:rsidRPr="00612C81">
        <w:rPr>
          <w:rFonts w:ascii="Garamond" w:hAnsi="Garamond"/>
          <w:bCs/>
          <w:lang w:val="en-GB"/>
        </w:rPr>
        <w:t xml:space="preserve"> November </w:t>
      </w:r>
      <w:r>
        <w:rPr>
          <w:rFonts w:ascii="Garamond" w:hAnsi="Garamond"/>
          <w:bCs/>
          <w:lang w:val="en-GB"/>
        </w:rPr>
        <w:t>proudly announced that</w:t>
      </w:r>
      <w:r w:rsidR="00612C81" w:rsidRPr="00612C81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all EU</w:t>
      </w:r>
      <w:r w:rsidR="00612C81" w:rsidRPr="00612C81">
        <w:rPr>
          <w:rFonts w:ascii="Garamond" w:hAnsi="Garamond"/>
          <w:bCs/>
          <w:lang w:val="en-GB"/>
        </w:rPr>
        <w:t xml:space="preserve"> parliaments have completed the process of ratifying the EU Association Agreement with Ukraine. The Association Agreement will lead to the establishment of a Ukrainian-EU free trade zone starting from </w:t>
      </w:r>
      <w:r>
        <w:rPr>
          <w:rFonts w:ascii="Garamond" w:hAnsi="Garamond"/>
          <w:bCs/>
          <w:lang w:val="en-GB"/>
        </w:rPr>
        <w:t>the 1</w:t>
      </w:r>
      <w:r w:rsidRPr="00C66BDF">
        <w:rPr>
          <w:rFonts w:ascii="Garamond" w:hAnsi="Garamond"/>
          <w:bCs/>
          <w:vertAlign w:val="superscript"/>
          <w:lang w:val="en-GB"/>
        </w:rPr>
        <w:t>st</w:t>
      </w:r>
      <w:r>
        <w:rPr>
          <w:rFonts w:ascii="Garamond" w:hAnsi="Garamond"/>
          <w:bCs/>
          <w:lang w:val="en-GB"/>
        </w:rPr>
        <w:t xml:space="preserve"> of January </w:t>
      </w:r>
      <w:r w:rsidR="00612C81" w:rsidRPr="00612C81">
        <w:rPr>
          <w:rFonts w:ascii="Garamond" w:hAnsi="Garamond"/>
          <w:bCs/>
          <w:lang w:val="en-GB"/>
        </w:rPr>
        <w:t xml:space="preserve">2016. </w:t>
      </w:r>
      <w:r>
        <w:rPr>
          <w:rFonts w:ascii="Garamond" w:hAnsi="Garamond"/>
          <w:bCs/>
          <w:lang w:val="en-GB"/>
        </w:rPr>
        <w:t>J</w:t>
      </w:r>
      <w:r w:rsidR="00612C81" w:rsidRPr="00612C81">
        <w:rPr>
          <w:rFonts w:ascii="Garamond" w:hAnsi="Garamond"/>
          <w:bCs/>
          <w:lang w:val="en-GB"/>
        </w:rPr>
        <w:t>ust one day before his announcement, Poroshenko asked the Ukrainian government to replace Russian-language text</w:t>
      </w:r>
      <w:r>
        <w:rPr>
          <w:rFonts w:ascii="Garamond" w:hAnsi="Garamond"/>
          <w:bCs/>
          <w:lang w:val="en-GB"/>
        </w:rPr>
        <w:t>s</w:t>
      </w:r>
      <w:r w:rsidR="00612C81" w:rsidRPr="00612C81">
        <w:rPr>
          <w:rFonts w:ascii="Garamond" w:hAnsi="Garamond"/>
          <w:bCs/>
          <w:lang w:val="en-GB"/>
        </w:rPr>
        <w:t xml:space="preserve"> with English </w:t>
      </w:r>
      <w:r>
        <w:rPr>
          <w:rFonts w:ascii="Garamond" w:hAnsi="Garamond"/>
          <w:bCs/>
          <w:lang w:val="en-GB"/>
        </w:rPr>
        <w:t>ones on</w:t>
      </w:r>
      <w:r w:rsidR="00612C81" w:rsidRPr="00612C81">
        <w:rPr>
          <w:rFonts w:ascii="Garamond" w:hAnsi="Garamond"/>
          <w:bCs/>
          <w:lang w:val="en-GB"/>
        </w:rPr>
        <w:t xml:space="preserve"> Ukrainian identification documents. What are the </w:t>
      </w:r>
      <w:r>
        <w:rPr>
          <w:rFonts w:ascii="Garamond" w:hAnsi="Garamond"/>
          <w:bCs/>
          <w:lang w:val="en-GB"/>
        </w:rPr>
        <w:t>relevance</w:t>
      </w:r>
      <w:r w:rsidR="00612C81" w:rsidRPr="00612C81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 xml:space="preserve">of </w:t>
      </w:r>
      <w:r w:rsidRPr="00612C81">
        <w:rPr>
          <w:rFonts w:ascii="Garamond" w:hAnsi="Garamond"/>
          <w:bCs/>
          <w:lang w:val="en-GB"/>
        </w:rPr>
        <w:t>these two different developments</w:t>
      </w:r>
      <w:r w:rsidRPr="00612C81">
        <w:rPr>
          <w:rFonts w:ascii="Garamond" w:hAnsi="Garamond"/>
          <w:bCs/>
          <w:lang w:val="en-GB"/>
        </w:rPr>
        <w:t xml:space="preserve"> </w:t>
      </w:r>
      <w:r w:rsidR="00612C81" w:rsidRPr="00612C81">
        <w:rPr>
          <w:rFonts w:ascii="Garamond" w:hAnsi="Garamond"/>
          <w:bCs/>
          <w:lang w:val="en-GB"/>
        </w:rPr>
        <w:t>and the connection</w:t>
      </w:r>
      <w:r>
        <w:rPr>
          <w:rFonts w:ascii="Garamond" w:hAnsi="Garamond"/>
          <w:bCs/>
          <w:lang w:val="en-GB"/>
        </w:rPr>
        <w:t>s</w:t>
      </w:r>
      <w:r w:rsidR="00612C81" w:rsidRPr="00612C81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between them</w:t>
      </w:r>
      <w:r w:rsidR="00612C81" w:rsidRPr="00612C81">
        <w:rPr>
          <w:rFonts w:ascii="Garamond" w:hAnsi="Garamond"/>
          <w:bCs/>
          <w:lang w:val="en-GB"/>
        </w:rPr>
        <w:t>?</w:t>
      </w:r>
    </w:p>
    <w:p w:rsidR="00612C81" w:rsidRPr="00612C81" w:rsidRDefault="00C66BDF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612C81" w:rsidRPr="00612C81">
        <w:rPr>
          <w:rFonts w:ascii="Garamond" w:hAnsi="Garamond"/>
          <w:bCs/>
          <w:lang w:val="en-GB"/>
        </w:rPr>
        <w:t xml:space="preserve">he Ukrainian President tweeted </w:t>
      </w:r>
      <w:r>
        <w:rPr>
          <w:rFonts w:ascii="Garamond" w:hAnsi="Garamond"/>
          <w:bCs/>
          <w:lang w:val="en-GB"/>
        </w:rPr>
        <w:t xml:space="preserve">also </w:t>
      </w:r>
      <w:r w:rsidR="00612C81" w:rsidRPr="00612C81">
        <w:rPr>
          <w:rFonts w:ascii="Garamond" w:hAnsi="Garamond"/>
          <w:bCs/>
          <w:lang w:val="en-GB"/>
        </w:rPr>
        <w:t>that, with the agreement</w:t>
      </w:r>
      <w:r w:rsidR="00CE75EE">
        <w:rPr>
          <w:rFonts w:ascii="Garamond" w:hAnsi="Garamond"/>
          <w:bCs/>
          <w:lang w:val="en-GB"/>
        </w:rPr>
        <w:t>’</w:t>
      </w:r>
      <w:r w:rsidR="00612C81" w:rsidRPr="00612C81">
        <w:rPr>
          <w:rFonts w:ascii="Garamond" w:hAnsi="Garamond"/>
          <w:bCs/>
          <w:lang w:val="en-GB"/>
        </w:rPr>
        <w:t>s ratification by the Brussels regional parliament and a Belgian language commission the same day, all 28 EU member s</w:t>
      </w:r>
      <w:r w:rsidR="00CE75EE">
        <w:rPr>
          <w:rFonts w:ascii="Garamond" w:hAnsi="Garamond"/>
          <w:bCs/>
          <w:lang w:val="en-GB"/>
        </w:rPr>
        <w:t>tates have now approved Ukraine’</w:t>
      </w:r>
      <w:r w:rsidR="00612C81" w:rsidRPr="00612C81">
        <w:rPr>
          <w:rFonts w:ascii="Garamond" w:hAnsi="Garamond"/>
          <w:bCs/>
          <w:lang w:val="en-GB"/>
        </w:rPr>
        <w:t xml:space="preserve">s pact with the European Union. </w:t>
      </w:r>
      <w:r>
        <w:rPr>
          <w:rFonts w:ascii="Garamond" w:hAnsi="Garamond"/>
          <w:bCs/>
          <w:lang w:val="en-GB"/>
        </w:rPr>
        <w:t>He said in a second tweet that “</w:t>
      </w:r>
      <w:r w:rsidR="00612C81" w:rsidRPr="00612C81">
        <w:rPr>
          <w:rFonts w:ascii="Garamond" w:hAnsi="Garamond"/>
          <w:bCs/>
          <w:lang w:val="en-GB"/>
        </w:rPr>
        <w:t>[The] EU just informed us that all is ready to launch a free trade zone w</w:t>
      </w:r>
      <w:r>
        <w:rPr>
          <w:rFonts w:ascii="Garamond" w:hAnsi="Garamond"/>
          <w:bCs/>
          <w:lang w:val="en-GB"/>
        </w:rPr>
        <w:t>ith Ukraine as of Jan. 1, 2016”.</w:t>
      </w:r>
    </w:p>
    <w:p w:rsidR="00612C81" w:rsidRPr="00612C81" w:rsidRDefault="00612C81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612C81">
        <w:rPr>
          <w:rFonts w:ascii="Garamond" w:hAnsi="Garamond"/>
          <w:bCs/>
          <w:lang w:val="en-GB"/>
        </w:rPr>
        <w:t>The EU is already Ukraine</w:t>
      </w:r>
      <w:r w:rsidR="00CE75EE">
        <w:rPr>
          <w:rFonts w:ascii="Garamond" w:hAnsi="Garamond"/>
          <w:bCs/>
          <w:lang w:val="en-GB"/>
        </w:rPr>
        <w:t>’</w:t>
      </w:r>
      <w:r w:rsidRPr="00612C81">
        <w:rPr>
          <w:rFonts w:ascii="Garamond" w:hAnsi="Garamond"/>
          <w:bCs/>
          <w:lang w:val="en-GB"/>
        </w:rPr>
        <w:t xml:space="preserve">s biggest trading partner, with Kyiv conducting more than one-third of its trade with EU members. Ukraine signed the political portion of the Association Agreement with Brussels in </w:t>
      </w:r>
      <w:r w:rsidRPr="00612C81">
        <w:rPr>
          <w:rFonts w:ascii="Garamond" w:hAnsi="Garamond"/>
          <w:bCs/>
          <w:lang w:val="en-GB"/>
        </w:rPr>
        <w:lastRenderedPageBreak/>
        <w:t xml:space="preserve">March 2014, and the economic section three months later. In September 2014, the establishment of a Ukrainian-EU free-trade zone was postponed until </w:t>
      </w:r>
      <w:r w:rsidR="00CE75EE">
        <w:rPr>
          <w:rFonts w:ascii="Garamond" w:hAnsi="Garamond"/>
          <w:bCs/>
          <w:lang w:val="en-GB"/>
        </w:rPr>
        <w:t>31/12/</w:t>
      </w:r>
      <w:r w:rsidRPr="00612C81">
        <w:rPr>
          <w:rFonts w:ascii="Garamond" w:hAnsi="Garamond"/>
          <w:bCs/>
          <w:lang w:val="en-GB"/>
        </w:rPr>
        <w:t>2015 after</w:t>
      </w:r>
      <w:r w:rsidR="00CE75EE">
        <w:rPr>
          <w:rFonts w:ascii="Garamond" w:hAnsi="Garamond"/>
          <w:bCs/>
          <w:lang w:val="en-GB"/>
        </w:rPr>
        <w:t xml:space="preserve"> Russian</w:t>
      </w:r>
      <w:r w:rsidRPr="00612C81">
        <w:rPr>
          <w:rFonts w:ascii="Garamond" w:hAnsi="Garamond"/>
          <w:bCs/>
          <w:lang w:val="en-GB"/>
        </w:rPr>
        <w:t xml:space="preserve"> complaints.</w:t>
      </w:r>
    </w:p>
    <w:p w:rsidR="00612C81" w:rsidRPr="00612C81" w:rsidRDefault="002E5F43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EU Trade Commissioner</w:t>
      </w:r>
      <w:r w:rsidRPr="002E5F43">
        <w:rPr>
          <w:rFonts w:ascii="Garamond" w:hAnsi="Garamond"/>
          <w:bCs/>
          <w:lang w:val="en-GB"/>
        </w:rPr>
        <w:t xml:space="preserve"> Cecilia Malmström</w:t>
      </w:r>
      <w:r>
        <w:rPr>
          <w:rFonts w:ascii="Garamond" w:hAnsi="Garamond"/>
          <w:bCs/>
          <w:lang w:val="en-GB"/>
        </w:rPr>
        <w:t xml:space="preserve"> </w:t>
      </w:r>
      <w:r w:rsidR="00612C81" w:rsidRPr="00612C81">
        <w:rPr>
          <w:rFonts w:ascii="Garamond" w:hAnsi="Garamond"/>
          <w:bCs/>
          <w:lang w:val="en-GB"/>
        </w:rPr>
        <w:t>said during a visit to Kyiv in mid</w:t>
      </w:r>
      <w:r>
        <w:rPr>
          <w:rFonts w:ascii="Garamond" w:hAnsi="Garamond"/>
          <w:bCs/>
          <w:lang w:val="en-GB"/>
        </w:rPr>
        <w:t>-</w:t>
      </w:r>
      <w:r w:rsidR="00612C81" w:rsidRPr="00612C81">
        <w:rPr>
          <w:rFonts w:ascii="Garamond" w:hAnsi="Garamond"/>
          <w:bCs/>
          <w:lang w:val="en-GB"/>
        </w:rPr>
        <w:t xml:space="preserve">November that the EU-Ukraine Deep and Comprehensive Free Trade Area (DCFTA) agreement will </w:t>
      </w:r>
      <w:r>
        <w:rPr>
          <w:rFonts w:ascii="Garamond" w:hAnsi="Garamond"/>
          <w:bCs/>
          <w:lang w:val="en-GB"/>
        </w:rPr>
        <w:t>“</w:t>
      </w:r>
      <w:r w:rsidR="00612C81" w:rsidRPr="00612C81">
        <w:rPr>
          <w:rFonts w:ascii="Garamond" w:hAnsi="Garamond"/>
          <w:bCs/>
          <w:lang w:val="en-GB"/>
        </w:rPr>
        <w:t xml:space="preserve">send a powerful signal that the regulatory environment in </w:t>
      </w:r>
      <w:r>
        <w:rPr>
          <w:rFonts w:ascii="Garamond" w:hAnsi="Garamond"/>
          <w:bCs/>
          <w:lang w:val="en-GB"/>
        </w:rPr>
        <w:t xml:space="preserve">Ukraine is modern and efficient”. </w:t>
      </w:r>
      <w:r w:rsidR="00612C81" w:rsidRPr="00612C81">
        <w:rPr>
          <w:rFonts w:ascii="Garamond" w:hAnsi="Garamond"/>
          <w:bCs/>
          <w:lang w:val="en-GB"/>
        </w:rPr>
        <w:t>The EU will gradually lift tariffs and other trade barriers as Ukraine meets conditions set forth in the DCFTA.</w:t>
      </w:r>
    </w:p>
    <w:p w:rsidR="00612C81" w:rsidRPr="00612C81" w:rsidRDefault="002E5F43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When</w:t>
      </w:r>
      <w:r w:rsidR="00612C81" w:rsidRPr="00612C81">
        <w:rPr>
          <w:rFonts w:ascii="Garamond" w:hAnsi="Garamond"/>
          <w:bCs/>
          <w:lang w:val="en-GB"/>
        </w:rPr>
        <w:t xml:space="preserve"> Poroshenko asked the government </w:t>
      </w:r>
      <w:r>
        <w:rPr>
          <w:rFonts w:ascii="Garamond" w:hAnsi="Garamond"/>
          <w:bCs/>
          <w:lang w:val="en-GB"/>
        </w:rPr>
        <w:t>to carry out the Russian to English language switch he told</w:t>
      </w:r>
      <w:r w:rsidR="00612C81" w:rsidRPr="00612C81">
        <w:rPr>
          <w:rFonts w:ascii="Garamond" w:hAnsi="Garamond"/>
          <w:bCs/>
          <w:lang w:val="en-GB"/>
        </w:rPr>
        <w:t xml:space="preserve"> that the request came </w:t>
      </w:r>
      <w:r>
        <w:rPr>
          <w:rFonts w:ascii="Garamond" w:hAnsi="Garamond"/>
          <w:bCs/>
          <w:lang w:val="en-GB"/>
        </w:rPr>
        <w:t>after a petition from Ukrainian citizens</w:t>
      </w:r>
      <w:r w:rsidR="00612C81" w:rsidRPr="00612C81">
        <w:rPr>
          <w:rFonts w:ascii="Garamond" w:hAnsi="Garamond"/>
          <w:bCs/>
          <w:lang w:val="en-GB"/>
        </w:rPr>
        <w:t xml:space="preserve"> demanding </w:t>
      </w:r>
      <w:r>
        <w:rPr>
          <w:rFonts w:ascii="Garamond" w:hAnsi="Garamond"/>
          <w:bCs/>
          <w:lang w:val="en-GB"/>
        </w:rPr>
        <w:t xml:space="preserve">that the so called </w:t>
      </w:r>
      <w:r w:rsidRPr="00612C81">
        <w:rPr>
          <w:rFonts w:ascii="Garamond" w:hAnsi="Garamond"/>
          <w:bCs/>
          <w:lang w:val="en-GB"/>
        </w:rPr>
        <w:t>internal passports</w:t>
      </w:r>
      <w:r w:rsidRPr="00612C81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be changed</w:t>
      </w:r>
      <w:r w:rsidR="00612C81" w:rsidRPr="00612C81">
        <w:rPr>
          <w:rFonts w:ascii="Garamond" w:hAnsi="Garamond"/>
          <w:bCs/>
          <w:lang w:val="en-GB"/>
        </w:rPr>
        <w:t>. Most internal passports in Ukraine currently carry text</w:t>
      </w:r>
      <w:r>
        <w:rPr>
          <w:rFonts w:ascii="Garamond" w:hAnsi="Garamond"/>
          <w:bCs/>
          <w:lang w:val="en-GB"/>
        </w:rPr>
        <w:t>s</w:t>
      </w:r>
      <w:r w:rsidR="00612C81" w:rsidRPr="00612C81">
        <w:rPr>
          <w:rFonts w:ascii="Garamond" w:hAnsi="Garamond"/>
          <w:bCs/>
          <w:lang w:val="en-GB"/>
        </w:rPr>
        <w:t xml:space="preserve"> in </w:t>
      </w:r>
      <w:r w:rsidRPr="00612C81">
        <w:rPr>
          <w:rFonts w:ascii="Garamond" w:hAnsi="Garamond"/>
          <w:bCs/>
          <w:lang w:val="en-GB"/>
        </w:rPr>
        <w:t>Russian</w:t>
      </w:r>
      <w:r w:rsidRPr="00612C81">
        <w:rPr>
          <w:rFonts w:ascii="Garamond" w:hAnsi="Garamond"/>
          <w:bCs/>
          <w:lang w:val="en-GB"/>
        </w:rPr>
        <w:t xml:space="preserve"> </w:t>
      </w:r>
      <w:r w:rsidRPr="00612C81">
        <w:rPr>
          <w:rFonts w:ascii="Garamond" w:hAnsi="Garamond"/>
          <w:bCs/>
          <w:lang w:val="en-GB"/>
        </w:rPr>
        <w:t>and</w:t>
      </w:r>
      <w:r w:rsidRPr="00612C81">
        <w:rPr>
          <w:rFonts w:ascii="Garamond" w:hAnsi="Garamond"/>
          <w:bCs/>
          <w:lang w:val="en-GB"/>
        </w:rPr>
        <w:t xml:space="preserve"> </w:t>
      </w:r>
      <w:r w:rsidR="00612C81" w:rsidRPr="00612C81">
        <w:rPr>
          <w:rFonts w:ascii="Garamond" w:hAnsi="Garamond"/>
          <w:bCs/>
          <w:lang w:val="en-GB"/>
        </w:rPr>
        <w:t>Ukrainian.</w:t>
      </w:r>
    </w:p>
    <w:p w:rsidR="00612C81" w:rsidRPr="00612C81" w:rsidRDefault="00612C81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612C81">
        <w:rPr>
          <w:rFonts w:ascii="Garamond" w:hAnsi="Garamond"/>
          <w:bCs/>
          <w:lang w:val="en-GB"/>
        </w:rPr>
        <w:t xml:space="preserve">A resident of the western city of </w:t>
      </w:r>
      <w:proofErr w:type="spellStart"/>
      <w:r w:rsidRPr="00612C81">
        <w:rPr>
          <w:rFonts w:ascii="Garamond" w:hAnsi="Garamond"/>
          <w:bCs/>
          <w:lang w:val="en-GB"/>
        </w:rPr>
        <w:t>Lviv</w:t>
      </w:r>
      <w:proofErr w:type="spellEnd"/>
      <w:r w:rsidRPr="00612C81">
        <w:rPr>
          <w:rFonts w:ascii="Garamond" w:hAnsi="Garamond"/>
          <w:bCs/>
          <w:lang w:val="en-GB"/>
        </w:rPr>
        <w:t xml:space="preserve">, </w:t>
      </w:r>
      <w:proofErr w:type="spellStart"/>
      <w:r w:rsidRPr="00612C81">
        <w:rPr>
          <w:rFonts w:ascii="Garamond" w:hAnsi="Garamond"/>
          <w:bCs/>
          <w:lang w:val="en-GB"/>
        </w:rPr>
        <w:t>Svyatoslav</w:t>
      </w:r>
      <w:proofErr w:type="spellEnd"/>
      <w:r w:rsidRPr="00612C81">
        <w:rPr>
          <w:rFonts w:ascii="Garamond" w:hAnsi="Garamond"/>
          <w:bCs/>
          <w:lang w:val="en-GB"/>
        </w:rPr>
        <w:t xml:space="preserve"> </w:t>
      </w:r>
      <w:proofErr w:type="spellStart"/>
      <w:r w:rsidRPr="00612C81">
        <w:rPr>
          <w:rFonts w:ascii="Garamond" w:hAnsi="Garamond"/>
          <w:bCs/>
          <w:lang w:val="en-GB"/>
        </w:rPr>
        <w:t>Litynskiy</w:t>
      </w:r>
      <w:proofErr w:type="spellEnd"/>
      <w:r w:rsidRPr="00612C81">
        <w:rPr>
          <w:rFonts w:ascii="Garamond" w:hAnsi="Garamond"/>
          <w:bCs/>
          <w:lang w:val="en-GB"/>
        </w:rPr>
        <w:t>, filed</w:t>
      </w:r>
      <w:bookmarkStart w:id="0" w:name="_GoBack"/>
      <w:bookmarkEnd w:id="0"/>
      <w:r w:rsidRPr="00612C81">
        <w:rPr>
          <w:rFonts w:ascii="Garamond" w:hAnsi="Garamond"/>
          <w:bCs/>
          <w:lang w:val="en-GB"/>
        </w:rPr>
        <w:t xml:space="preserve"> a lawsuit in early 2015 against a local passport agency, demanding an internal passport with text only in Ukrainian. He won the case in May and received such a passport in August.</w:t>
      </w:r>
    </w:p>
    <w:p w:rsidR="00854F77" w:rsidRPr="00EB00D9" w:rsidRDefault="00612C81" w:rsidP="00612C81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 w:rsidRPr="00612C81">
        <w:rPr>
          <w:rFonts w:ascii="Garamond" w:hAnsi="Garamond"/>
          <w:bCs/>
          <w:lang w:val="en-GB"/>
        </w:rPr>
        <w:t>Ukrainian-Russian relations have hit historic lows since Moscow annexed Ukraine</w:t>
      </w:r>
      <w:r w:rsidR="00CE75EE">
        <w:rPr>
          <w:rFonts w:ascii="Garamond" w:hAnsi="Garamond"/>
          <w:bCs/>
          <w:lang w:val="en-GB"/>
        </w:rPr>
        <w:t>’</w:t>
      </w:r>
      <w:r w:rsidRPr="00612C81">
        <w:rPr>
          <w:rFonts w:ascii="Garamond" w:hAnsi="Garamond"/>
          <w:bCs/>
          <w:lang w:val="en-GB"/>
        </w:rPr>
        <w:t>s Crimean Peninsula in 2014 and began supporting pro-Russian separatists in eastern Ukraine.</w:t>
      </w:r>
    </w:p>
    <w:sectPr w:rsidR="00854F77" w:rsidRPr="00EB00D9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11" w:rsidRDefault="00E30111">
      <w:pPr>
        <w:spacing w:after="0" w:line="240" w:lineRule="auto"/>
      </w:pPr>
      <w:r>
        <w:separator/>
      </w:r>
    </w:p>
  </w:endnote>
  <w:endnote w:type="continuationSeparator" w:id="0">
    <w:p w:rsidR="00E30111" w:rsidRDefault="00E3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E5F43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11" w:rsidRDefault="00E30111">
      <w:pPr>
        <w:spacing w:after="0" w:line="240" w:lineRule="auto"/>
      </w:pPr>
      <w:r>
        <w:separator/>
      </w:r>
    </w:p>
  </w:footnote>
  <w:footnote w:type="continuationSeparator" w:id="0">
    <w:p w:rsidR="00E30111" w:rsidRDefault="00E3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B63F1"/>
    <w:rsid w:val="000C0EE7"/>
    <w:rsid w:val="000C21DE"/>
    <w:rsid w:val="000C6153"/>
    <w:rsid w:val="000D6AE4"/>
    <w:rsid w:val="000D769E"/>
    <w:rsid w:val="000E3A49"/>
    <w:rsid w:val="000E540A"/>
    <w:rsid w:val="000E5492"/>
    <w:rsid w:val="000F3639"/>
    <w:rsid w:val="00102879"/>
    <w:rsid w:val="00110556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952CB"/>
    <w:rsid w:val="001A13DC"/>
    <w:rsid w:val="001A6172"/>
    <w:rsid w:val="001A6578"/>
    <w:rsid w:val="001E0EE5"/>
    <w:rsid w:val="001E5EAD"/>
    <w:rsid w:val="001E6F23"/>
    <w:rsid w:val="001F1CF0"/>
    <w:rsid w:val="001F36A8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D68A3"/>
    <w:rsid w:val="002E5F43"/>
    <w:rsid w:val="00311D75"/>
    <w:rsid w:val="0032563F"/>
    <w:rsid w:val="003257E9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17CA5"/>
    <w:rsid w:val="00422108"/>
    <w:rsid w:val="004305C9"/>
    <w:rsid w:val="0043163F"/>
    <w:rsid w:val="0043480E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3307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6ADB"/>
    <w:rsid w:val="005A7289"/>
    <w:rsid w:val="005B128D"/>
    <w:rsid w:val="005B59FA"/>
    <w:rsid w:val="005B7C6C"/>
    <w:rsid w:val="005D2980"/>
    <w:rsid w:val="005E136B"/>
    <w:rsid w:val="005E1812"/>
    <w:rsid w:val="005E1BA9"/>
    <w:rsid w:val="005E420A"/>
    <w:rsid w:val="005E6776"/>
    <w:rsid w:val="005F5FA2"/>
    <w:rsid w:val="00601DCC"/>
    <w:rsid w:val="00606052"/>
    <w:rsid w:val="00612C81"/>
    <w:rsid w:val="006245D1"/>
    <w:rsid w:val="00627461"/>
    <w:rsid w:val="00654DFB"/>
    <w:rsid w:val="00655721"/>
    <w:rsid w:val="00657CB4"/>
    <w:rsid w:val="00662AF7"/>
    <w:rsid w:val="00663C58"/>
    <w:rsid w:val="00672E07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047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17C77"/>
    <w:rsid w:val="00921102"/>
    <w:rsid w:val="00921B4C"/>
    <w:rsid w:val="009238CC"/>
    <w:rsid w:val="0092587C"/>
    <w:rsid w:val="009303C0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3F2F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B1AF9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1B9F"/>
    <w:rsid w:val="00B5318B"/>
    <w:rsid w:val="00B63C8E"/>
    <w:rsid w:val="00B65BF6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BF783F"/>
    <w:rsid w:val="00C11C42"/>
    <w:rsid w:val="00C1260E"/>
    <w:rsid w:val="00C141CB"/>
    <w:rsid w:val="00C1653E"/>
    <w:rsid w:val="00C2500E"/>
    <w:rsid w:val="00C275CD"/>
    <w:rsid w:val="00C33E84"/>
    <w:rsid w:val="00C41B65"/>
    <w:rsid w:val="00C45FB0"/>
    <w:rsid w:val="00C51E9F"/>
    <w:rsid w:val="00C540B1"/>
    <w:rsid w:val="00C5443E"/>
    <w:rsid w:val="00C55246"/>
    <w:rsid w:val="00C66BDF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3E18"/>
    <w:rsid w:val="00CC2256"/>
    <w:rsid w:val="00CD022F"/>
    <w:rsid w:val="00CD0A19"/>
    <w:rsid w:val="00CD2551"/>
    <w:rsid w:val="00CD4876"/>
    <w:rsid w:val="00CD724C"/>
    <w:rsid w:val="00CE1FEE"/>
    <w:rsid w:val="00CE33F8"/>
    <w:rsid w:val="00CE75EE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0111"/>
    <w:rsid w:val="00E30893"/>
    <w:rsid w:val="00E34118"/>
    <w:rsid w:val="00E40A9D"/>
    <w:rsid w:val="00E413D9"/>
    <w:rsid w:val="00E47F4D"/>
    <w:rsid w:val="00E57E6A"/>
    <w:rsid w:val="00E611B8"/>
    <w:rsid w:val="00E65C79"/>
    <w:rsid w:val="00E65ECE"/>
    <w:rsid w:val="00E65F1C"/>
    <w:rsid w:val="00E736C2"/>
    <w:rsid w:val="00E73C59"/>
    <w:rsid w:val="00E756E1"/>
    <w:rsid w:val="00E84979"/>
    <w:rsid w:val="00EB00D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E30D-BFAA-4A4C-A7EC-69FD080E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2160</Characters>
  <Application>Microsoft Office Word</Application>
  <DocSecurity>0</DocSecurity>
  <Lines>34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cp:lastPrinted>2013-11-14T07:09:00Z</cp:lastPrinted>
  <dcterms:created xsi:type="dcterms:W3CDTF">2015-12-16T07:44:00Z</dcterms:created>
  <dcterms:modified xsi:type="dcterms:W3CDTF">2015-12-16T07:56:00Z</dcterms:modified>
</cp:coreProperties>
</file>